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5" w:rsidRPr="006F6185" w:rsidRDefault="006F6185" w:rsidP="006F6185">
      <w:pPr>
        <w:rPr>
          <w:szCs w:val="18"/>
        </w:rPr>
      </w:pPr>
      <w:bookmarkStart w:id="0" w:name="_GoBack"/>
      <w:bookmarkEnd w:id="0"/>
      <w:r w:rsidRPr="006F6185">
        <w:rPr>
          <w:b/>
          <w:sz w:val="32"/>
          <w:szCs w:val="32"/>
        </w:rPr>
        <w:t>Boostrix® Polio</w:t>
      </w:r>
      <w:r w:rsidRPr="006F6185">
        <w:rPr>
          <w:szCs w:val="18"/>
        </w:rPr>
        <w:t xml:space="preserve"> - Injektionssuspension in einer Fertigspritze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 xml:space="preserve">Diphtherie-, Tetanus, Pertussis (azellulär) und inaktivierter Poliomyelitis </w:t>
      </w:r>
      <w:r>
        <w:rPr>
          <w:szCs w:val="18"/>
        </w:rPr>
        <w:t>–</w:t>
      </w:r>
      <w:r w:rsidRPr="006F6185">
        <w:rPr>
          <w:szCs w:val="18"/>
        </w:rPr>
        <w:t xml:space="preserve"> Impfstoff</w:t>
      </w:r>
      <w:r>
        <w:rPr>
          <w:szCs w:val="18"/>
        </w:rPr>
        <w:t xml:space="preserve"> </w:t>
      </w:r>
      <w:r w:rsidRPr="006F6185">
        <w:rPr>
          <w:szCs w:val="18"/>
        </w:rPr>
        <w:t>(adsorbiert, verminderter Antigengehalt)</w:t>
      </w:r>
    </w:p>
    <w:p w:rsidR="006F6185" w:rsidRPr="006F6185" w:rsidRDefault="006F6185" w:rsidP="006F6185">
      <w:pPr>
        <w:pStyle w:val="berschrift1"/>
      </w:pPr>
      <w:r w:rsidRPr="006F6185">
        <w:t>Gebrauchsinformation: Information für Anwender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Lesen Sie die gesamte Packungsbeilage sorgfältig durch, bevor der Impfstoff Ihnen</w:t>
      </w:r>
      <w:r>
        <w:rPr>
          <w:szCs w:val="18"/>
        </w:rPr>
        <w:t xml:space="preserve"> </w:t>
      </w:r>
      <w:r w:rsidRPr="006F6185">
        <w:rPr>
          <w:szCs w:val="18"/>
        </w:rPr>
        <w:t>oder Ihrem Kind verabreicht wird, denn sie enthält wichtige Informationen.</w:t>
      </w:r>
    </w:p>
    <w:p w:rsidR="006F6185" w:rsidRPr="006F6185" w:rsidRDefault="006F6185" w:rsidP="006F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6F6185">
        <w:rPr>
          <w:szCs w:val="18"/>
        </w:rPr>
        <w:t>- Heben Sie die Packungsbeilage auf. Vielleicht möchten Sie diese später nochmals</w:t>
      </w:r>
      <w:r>
        <w:rPr>
          <w:szCs w:val="18"/>
        </w:rPr>
        <w:t xml:space="preserve"> </w:t>
      </w:r>
      <w:r w:rsidRPr="006F6185">
        <w:rPr>
          <w:szCs w:val="18"/>
        </w:rPr>
        <w:t>lesen.</w:t>
      </w:r>
    </w:p>
    <w:p w:rsidR="006F6185" w:rsidRPr="006F6185" w:rsidRDefault="006F6185" w:rsidP="006F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6F6185">
        <w:rPr>
          <w:szCs w:val="18"/>
        </w:rPr>
        <w:t>- Wenn Sie weitere Fragen haben, wenden Sie sich an Ihren Arzt oder Apotheker.</w:t>
      </w:r>
    </w:p>
    <w:p w:rsidR="006F6185" w:rsidRPr="006F6185" w:rsidRDefault="006F6185" w:rsidP="006F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6F6185">
        <w:rPr>
          <w:szCs w:val="18"/>
        </w:rPr>
        <w:t>- Dieser Impfstoff wurde Ihnen oder Ihrem Kind persönlich verschrieben und darf daher</w:t>
      </w:r>
      <w:r>
        <w:rPr>
          <w:szCs w:val="18"/>
        </w:rPr>
        <w:t xml:space="preserve"> </w:t>
      </w:r>
      <w:r w:rsidRPr="006F6185">
        <w:rPr>
          <w:szCs w:val="18"/>
        </w:rPr>
        <w:t>nicht an Dritte weitergegeben werden.</w:t>
      </w:r>
    </w:p>
    <w:p w:rsidR="006F6185" w:rsidRPr="006F6185" w:rsidRDefault="006F6185" w:rsidP="006F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6F6185">
        <w:rPr>
          <w:szCs w:val="18"/>
        </w:rPr>
        <w:t>- Wenn Sie oder Ihr Kind Nebenwirkungen bemerken, wenden Sie sich an Ihren Arzt</w:t>
      </w:r>
      <w:r>
        <w:rPr>
          <w:szCs w:val="18"/>
        </w:rPr>
        <w:t xml:space="preserve"> </w:t>
      </w:r>
      <w:r w:rsidRPr="006F6185">
        <w:rPr>
          <w:szCs w:val="18"/>
        </w:rPr>
        <w:t>oder Apotheker. Dies gilt auch für Nebenwirkungen, die nicht in dieser</w:t>
      </w:r>
      <w:r>
        <w:rPr>
          <w:szCs w:val="18"/>
        </w:rPr>
        <w:t xml:space="preserve"> </w:t>
      </w:r>
      <w:r w:rsidRPr="006F6185">
        <w:rPr>
          <w:szCs w:val="18"/>
        </w:rPr>
        <w:t>Packungsbeilage angegeben sind. Siehe Abschnitt 4.</w:t>
      </w:r>
    </w:p>
    <w:p w:rsidR="006F6185" w:rsidRPr="006F6185" w:rsidRDefault="006F6185" w:rsidP="006F6185">
      <w:pPr>
        <w:pStyle w:val="berschrift1"/>
      </w:pPr>
      <w:r w:rsidRPr="006F6185">
        <w:t>1. Was ist Boostrix Polio und wofür wird es angewendet?</w:t>
      </w:r>
    </w:p>
    <w:p w:rsidR="006F6185" w:rsidRDefault="006F6185" w:rsidP="006F6185">
      <w:pPr>
        <w:rPr>
          <w:szCs w:val="18"/>
        </w:rPr>
      </w:pPr>
      <w:r w:rsidRPr="006F6185">
        <w:rPr>
          <w:szCs w:val="18"/>
        </w:rPr>
        <w:t>Boostrix Polio ist ein Impfstoff, der bei Kindern ab dem vollendeten 4. Lebensjahr und bei</w:t>
      </w:r>
      <w:r>
        <w:rPr>
          <w:szCs w:val="18"/>
        </w:rPr>
        <w:t xml:space="preserve"> </w:t>
      </w:r>
      <w:r w:rsidRPr="006F6185">
        <w:rPr>
          <w:szCs w:val="18"/>
        </w:rPr>
        <w:t>Jugendlichen und Erwachsenen als Auffrischimpfung (Boosterimpfung) angewendet wird, um</w:t>
      </w:r>
      <w:r>
        <w:rPr>
          <w:szCs w:val="18"/>
        </w:rPr>
        <w:t xml:space="preserve"> </w:t>
      </w:r>
      <w:r w:rsidRPr="006F6185">
        <w:rPr>
          <w:szCs w:val="18"/>
        </w:rPr>
        <w:t>folgende vier Krankheiten zu vermeiden: Diphtherie, Tetanus (Wundstarrkrampf), Pertussis</w:t>
      </w:r>
      <w:r>
        <w:rPr>
          <w:szCs w:val="18"/>
        </w:rPr>
        <w:t xml:space="preserve"> </w:t>
      </w:r>
      <w:r w:rsidRPr="006F6185">
        <w:rPr>
          <w:szCs w:val="18"/>
        </w:rPr>
        <w:t>(Keuchhusten) und Poliomyelitis (Kinderlähmung). Der Impfstoff wirkt, indem er den Körper</w:t>
      </w:r>
      <w:r>
        <w:rPr>
          <w:szCs w:val="18"/>
        </w:rPr>
        <w:t xml:space="preserve"> </w:t>
      </w:r>
      <w:r w:rsidRPr="006F6185">
        <w:rPr>
          <w:szCs w:val="18"/>
        </w:rPr>
        <w:t>eine eigene Schutzfunktion (Antikörper) gegen die</w:t>
      </w:r>
      <w:r>
        <w:rPr>
          <w:szCs w:val="18"/>
        </w:rPr>
        <w:t>se Erkrankungen aufbauen lässt.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Diphtherie betrifft hauptsächlich die Atemwege und gelegentlich die Haut. Im</w:t>
      </w:r>
      <w:r>
        <w:rPr>
          <w:szCs w:val="18"/>
        </w:rPr>
        <w:t xml:space="preserve"> </w:t>
      </w:r>
      <w:r w:rsidRPr="006F6185">
        <w:rPr>
          <w:szCs w:val="18"/>
        </w:rPr>
        <w:t>Allgemeinen kommt es zu einer Entzündung (Schwellung) der Atemwege, die starke</w:t>
      </w:r>
      <w:r>
        <w:rPr>
          <w:szCs w:val="18"/>
        </w:rPr>
        <w:t xml:space="preserve"> </w:t>
      </w:r>
      <w:r w:rsidRPr="006F6185">
        <w:rPr>
          <w:szCs w:val="18"/>
        </w:rPr>
        <w:t>Beschwerden beim Atmen und in manchen Fällen auch Ersticken verursachen kann. Die</w:t>
      </w:r>
      <w:r>
        <w:rPr>
          <w:szCs w:val="18"/>
        </w:rPr>
        <w:t xml:space="preserve"> </w:t>
      </w:r>
      <w:r w:rsidRPr="006F6185">
        <w:rPr>
          <w:szCs w:val="18"/>
        </w:rPr>
        <w:t>Bakterien setzen außerdem ein Toxin (Gift) frei, das zu Nervenschäden, Herzproblemen</w:t>
      </w:r>
      <w:r>
        <w:rPr>
          <w:szCs w:val="18"/>
        </w:rPr>
        <w:t xml:space="preserve"> </w:t>
      </w:r>
      <w:r w:rsidRPr="006F6185">
        <w:rPr>
          <w:szCs w:val="18"/>
        </w:rPr>
        <w:t>und sogar zum Tod führen kann.</w:t>
      </w:r>
    </w:p>
    <w:p w:rsidR="006F6185" w:rsidRDefault="006F6185" w:rsidP="006F6185">
      <w:pPr>
        <w:rPr>
          <w:szCs w:val="18"/>
        </w:rPr>
      </w:pPr>
      <w:r w:rsidRPr="006F6185">
        <w:rPr>
          <w:szCs w:val="18"/>
        </w:rPr>
        <w:t>Tetanus (Wundstarrkrampf): Tetanusbakterien gelangen durch Schnittverletzungen,</w:t>
      </w:r>
      <w:r>
        <w:rPr>
          <w:szCs w:val="18"/>
        </w:rPr>
        <w:t xml:space="preserve"> </w:t>
      </w:r>
      <w:r w:rsidRPr="006F6185">
        <w:rPr>
          <w:szCs w:val="18"/>
        </w:rPr>
        <w:t>Kratzer oder andere Wunden in den Körper. Besonders infektionsanfällige Wunden sind</w:t>
      </w:r>
      <w:r>
        <w:rPr>
          <w:szCs w:val="18"/>
        </w:rPr>
        <w:t xml:space="preserve"> </w:t>
      </w:r>
      <w:r w:rsidRPr="006F6185">
        <w:rPr>
          <w:szCs w:val="18"/>
        </w:rPr>
        <w:t>Verbrennungen, Knochenbrüche, tiefe Wunden oder durch Erde, Staub, Pferdemist/Dung</w:t>
      </w:r>
      <w:r>
        <w:rPr>
          <w:szCs w:val="18"/>
        </w:rPr>
        <w:t xml:space="preserve"> </w:t>
      </w:r>
      <w:r w:rsidRPr="006F6185">
        <w:rPr>
          <w:szCs w:val="18"/>
        </w:rPr>
        <w:t>oder Holzsplitter verunreinigte Wunden. Die Bakterien setzen ein Toxin (Gift) frei, das</w:t>
      </w:r>
      <w:r>
        <w:rPr>
          <w:szCs w:val="18"/>
        </w:rPr>
        <w:t xml:space="preserve"> </w:t>
      </w:r>
      <w:r w:rsidRPr="006F6185">
        <w:rPr>
          <w:szCs w:val="18"/>
        </w:rPr>
        <w:t>Muskelsteifigkeit, schmerzhafte Muskelkrämpfe und Krampfanfälle bis hin zum Tod</w:t>
      </w:r>
      <w:r>
        <w:rPr>
          <w:szCs w:val="18"/>
        </w:rPr>
        <w:t xml:space="preserve"> </w:t>
      </w:r>
      <w:r w:rsidRPr="006F6185">
        <w:rPr>
          <w:szCs w:val="18"/>
        </w:rPr>
        <w:t>verursachen kann. Die Muskelkrämpfe können so stark sein, dass sie Knochenbrüche</w:t>
      </w:r>
      <w:r>
        <w:rPr>
          <w:szCs w:val="18"/>
        </w:rPr>
        <w:t xml:space="preserve"> </w:t>
      </w:r>
      <w:r w:rsidRPr="006F6185">
        <w:rPr>
          <w:szCs w:val="18"/>
        </w:rPr>
        <w:t xml:space="preserve">der </w:t>
      </w:r>
      <w:r>
        <w:rPr>
          <w:szCs w:val="18"/>
        </w:rPr>
        <w:t>Wirbelsäule verursachen können.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Pertussis (Keuchhusten): Pertussis ist eine hochinfektiöse Erkrankung. Die Krankheit</w:t>
      </w:r>
      <w:r>
        <w:rPr>
          <w:szCs w:val="18"/>
        </w:rPr>
        <w:t xml:space="preserve"> </w:t>
      </w:r>
      <w:r w:rsidRPr="006F6185">
        <w:rPr>
          <w:szCs w:val="18"/>
        </w:rPr>
        <w:t>betrifft die Atemwege und verursacht dabei schwere Hustenanfälle, die das normale</w:t>
      </w:r>
      <w:r>
        <w:rPr>
          <w:szCs w:val="18"/>
        </w:rPr>
        <w:t xml:space="preserve"> </w:t>
      </w:r>
      <w:r w:rsidRPr="006F6185">
        <w:rPr>
          <w:szCs w:val="18"/>
        </w:rPr>
        <w:t>Atmen beeinträchtigen können. Das Husten wird oft von einem „keuchenden” Geräusch</w:t>
      </w:r>
      <w:r>
        <w:rPr>
          <w:szCs w:val="18"/>
        </w:rPr>
        <w:t xml:space="preserve"> </w:t>
      </w:r>
      <w:r w:rsidRPr="006F6185">
        <w:rPr>
          <w:szCs w:val="18"/>
        </w:rPr>
        <w:t>begleitet, daher auch die häufige Bezeichnung „Keuchhusten”. Der Husten kann 1 bis 2</w:t>
      </w:r>
      <w:r>
        <w:rPr>
          <w:szCs w:val="18"/>
        </w:rPr>
        <w:t xml:space="preserve"> </w:t>
      </w:r>
      <w:r w:rsidRPr="006F6185">
        <w:rPr>
          <w:szCs w:val="18"/>
        </w:rPr>
        <w:t>Monate oder länger anhalten. Pertussis kann auch zu Ohrinfektionen, lang andauernder</w:t>
      </w:r>
      <w:r>
        <w:rPr>
          <w:szCs w:val="18"/>
        </w:rPr>
        <w:t xml:space="preserve"> </w:t>
      </w:r>
      <w:r w:rsidRPr="006F6185">
        <w:rPr>
          <w:szCs w:val="18"/>
        </w:rPr>
        <w:t>Bronchitis, Lungenentzündung, Krampfanfällen und Hirnschäden bis hin zum Tod führen.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lastRenderedPageBreak/>
        <w:t>Poliomyelitis (Kinderlähmung): Bei der Poliomyelitis, die auch einfach als „Polio”</w:t>
      </w:r>
      <w:r>
        <w:rPr>
          <w:szCs w:val="18"/>
        </w:rPr>
        <w:t xml:space="preserve"> </w:t>
      </w:r>
      <w:r w:rsidRPr="006F6185">
        <w:rPr>
          <w:szCs w:val="18"/>
        </w:rPr>
        <w:t>bezeichnet wird, handelt es sich um eine Virusinfektion mit unterschiedlichen</w:t>
      </w:r>
      <w:r>
        <w:rPr>
          <w:szCs w:val="18"/>
        </w:rPr>
        <w:t xml:space="preserve"> </w:t>
      </w:r>
      <w:r w:rsidRPr="006F6185">
        <w:rPr>
          <w:szCs w:val="18"/>
        </w:rPr>
        <w:t>Erkrankungserscheinungen. Oft kommt es nur zu einer leichten Erkrankung, in manchen</w:t>
      </w:r>
      <w:r>
        <w:rPr>
          <w:szCs w:val="18"/>
        </w:rPr>
        <w:t xml:space="preserve"> </w:t>
      </w:r>
      <w:r w:rsidRPr="006F6185">
        <w:rPr>
          <w:szCs w:val="18"/>
        </w:rPr>
        <w:t>Fällen führt sie aber zu bleibenden Schäden oder auch zum Tod. In ihrer schwersten</w:t>
      </w:r>
      <w:r>
        <w:rPr>
          <w:szCs w:val="18"/>
        </w:rPr>
        <w:t xml:space="preserve"> </w:t>
      </w:r>
      <w:r w:rsidRPr="006F6185">
        <w:rPr>
          <w:szCs w:val="18"/>
        </w:rPr>
        <w:t>Verlaufsform verursacht die Poliomyelitis eine Muskellähmung, welche auch die Muskeln</w:t>
      </w:r>
      <w:r>
        <w:rPr>
          <w:szCs w:val="18"/>
        </w:rPr>
        <w:t xml:space="preserve"> </w:t>
      </w:r>
      <w:r w:rsidRPr="006F6185">
        <w:rPr>
          <w:szCs w:val="18"/>
        </w:rPr>
        <w:t>betrifft, die zum Atmen oder Gehen benötigt werden. Es bleiben möglicherweise</w:t>
      </w:r>
      <w:r>
        <w:rPr>
          <w:szCs w:val="18"/>
        </w:rPr>
        <w:t xml:space="preserve"> </w:t>
      </w:r>
      <w:r w:rsidRPr="006F6185">
        <w:rPr>
          <w:szCs w:val="18"/>
        </w:rPr>
        <w:t>schmerzhafte Veränderungen der befallenen Gliedmaßen zurück.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Keiner der in dem Impfstoff enthaltenen Bestandteile kann Diphtherie, Tetanus, Keuchhusten</w:t>
      </w:r>
      <w:r>
        <w:rPr>
          <w:szCs w:val="18"/>
        </w:rPr>
        <w:t xml:space="preserve"> </w:t>
      </w:r>
      <w:r w:rsidRPr="006F6185">
        <w:rPr>
          <w:szCs w:val="18"/>
        </w:rPr>
        <w:t>oder Kinderlähmung verursachen.</w:t>
      </w:r>
    </w:p>
    <w:p w:rsidR="006F6185" w:rsidRPr="006F6185" w:rsidRDefault="006F6185" w:rsidP="006F6185">
      <w:pPr>
        <w:pStyle w:val="berschrift1"/>
      </w:pPr>
      <w:r w:rsidRPr="006F6185">
        <w:t>2. Was sollten Sie oder Ihr Kind vor der Anwendung von Boostrix Polio beachten?</w:t>
      </w:r>
    </w:p>
    <w:p w:rsidR="006F6185" w:rsidRPr="006F6185" w:rsidRDefault="006F6185" w:rsidP="00B50FB8">
      <w:pPr>
        <w:pStyle w:val="berschrift2"/>
      </w:pPr>
      <w:r w:rsidRPr="006F6185">
        <w:t>Boostrix Polio darf nicht angewendet werden,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schon einmal eine allergische Reaktion auf Boostrix Polio, auf einen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der in Abschnitt 6. genannten sonstigen Bestandteile dieses Arzneimittels oder auf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Neomycin oder Polymyxin gezeigt haben/hat. Eine allergische Reaktion kann sich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durch juckende Hautausschläge, Atemnot oder Anschwellen des Gesichts oder der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Zunge äußern.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früher bereits eine allergische Reaktion auf eine Impfung gegen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Diphtherie, Tetanus, Pertussis (Keuchhusten) oder Poliomyelitis gezeigt haben/hat.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bei Ihnen/Ihrem Kind innerhalb von sieben Tagen nach einer früheren Impfung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mit einem Impfstoff gegen Pertussis (Keuchhusten) Störungen des Nervensystems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(Enzephalopathie) aufgetreten sind.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eine vorübergehende Verminderung der Blutplättchen (wodurch sich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das Risiko für Blutungen oder Blutergüsse erhöht) oder Erkrankungen des Gehirns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oder der Nerven nach einer früheren Impfung mit einem Impfstoff gegen Diphtherie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und/oder Tetanus gezeigt haben/hat.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eine schwere Infektion mit Fieber (über 38 ºC) haben/hat. Eine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leichte Infektion dürfte zwar unproblematisch sein, Sie sollten aber zuerst mit dem Arzt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darüber sprechen.</w:t>
      </w:r>
    </w:p>
    <w:p w:rsidR="006F6185" w:rsidRPr="006F6185" w:rsidRDefault="006F6185" w:rsidP="006F6185">
      <w:pPr>
        <w:pStyle w:val="berschrift2"/>
      </w:pPr>
      <w:r w:rsidRPr="006F6185">
        <w:t>Warnhinweise und Vorsichtsmaßnahmen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Bitte sprechen Sie mit Ihrem Arzt oder Apotheker, bevor Boostrix Polio Ihnen oder Ihrem</w:t>
      </w:r>
      <w:r>
        <w:rPr>
          <w:szCs w:val="18"/>
        </w:rPr>
        <w:t xml:space="preserve"> </w:t>
      </w:r>
      <w:r w:rsidRPr="006F6185">
        <w:rPr>
          <w:szCs w:val="18"/>
        </w:rPr>
        <w:t>Kind verabreicht wird.</w:t>
      </w:r>
      <w:r w:rsidR="00B50FB8">
        <w:rPr>
          <w:szCs w:val="18"/>
        </w:rPr>
        <w:t xml:space="preserve"> 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nach einer früheren Impfung mit Boostrix Polio oder einem anderen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Impfstoff mit Pertussiskomponente irgendwelche Probleme hatten/hatte, insbesondere:</w:t>
      </w:r>
      <w:r>
        <w:rPr>
          <w:szCs w:val="18"/>
        </w:rPr>
        <w:t xml:space="preserve"> </w:t>
      </w:r>
      <w:r w:rsidR="006F6185" w:rsidRPr="006F6185">
        <w:rPr>
          <w:szCs w:val="18"/>
        </w:rPr>
        <w:t>Temperaturerhöhung (≥ 40 ºC) innerhalb von 48 Stunden nach der Impfung</w:t>
      </w:r>
      <w:r>
        <w:rPr>
          <w:szCs w:val="18"/>
        </w:rPr>
        <w:t xml:space="preserve">, </w:t>
      </w:r>
      <w:r w:rsidR="006F6185" w:rsidRPr="006F6185">
        <w:rPr>
          <w:szCs w:val="18"/>
        </w:rPr>
        <w:t>Kollaps oder schockähnlicher Zustand innerhalb von 48 Stunden nach der Impfung</w:t>
      </w:r>
      <w:r>
        <w:rPr>
          <w:szCs w:val="18"/>
        </w:rPr>
        <w:t xml:space="preserve">, </w:t>
      </w:r>
      <w:r w:rsidR="006F6185" w:rsidRPr="006F6185">
        <w:rPr>
          <w:szCs w:val="18"/>
        </w:rPr>
        <w:t>anhaltendes Schreien über drei Stunden und länger innerhalb von 48 Stunden nach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der Impfung</w:t>
      </w:r>
      <w:r>
        <w:rPr>
          <w:szCs w:val="18"/>
        </w:rPr>
        <w:t xml:space="preserve">, </w:t>
      </w:r>
      <w:r w:rsidR="006F6185" w:rsidRPr="006F6185">
        <w:rPr>
          <w:szCs w:val="18"/>
        </w:rPr>
        <w:t>Krämpfe oder Krampfanfälle mit oder ohne Temperaturerhöhung innerhalb von drei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Tagen nach der Impfung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an einer nicht diagnostizierten oder fortschreitenden Erkrankung des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Gehirns oder an nicht kontrollierter Epilepsie leiden/leidet. Sobald die Erkrankung unter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Kontrolle gebracht wurde, sollte der Impfstoff verabreicht werden.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lastRenderedPageBreak/>
        <w:t xml:space="preserve">- </w:t>
      </w:r>
      <w:r w:rsidR="006F6185" w:rsidRPr="006F6185">
        <w:rPr>
          <w:szCs w:val="18"/>
        </w:rPr>
        <w:t>wenn Sie/Ihr Kind an einer Blutgerinnungsstörung leiden/leidet oder leicht Blutergüsse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bekommen/bekommt.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zu Fieberkrämpfen neigen/neigt oder diese in der Familie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aufgetreten sind.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wenn Sie/Ihr Kind aus irgendwelchen Gründen (einschließlich einer HIV-Infektion) lang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andauernde Probleme mit dem Immunsystem haben/hat. Man kann Ihnen/Ihrem Kind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zwar Boostrix Polio verabreichen, jedoch kann der Schutz vor einer Infektion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möglicherweise nicht so gut sein wie bei Kindern oder Erwachsenen mit einem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unbeeinträchtigtem Immunsystem.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Nach oder sogar vor einer Nadelinjektion kann es (meist bei Jugendlichen) zu einer</w:t>
      </w:r>
      <w:r>
        <w:rPr>
          <w:szCs w:val="18"/>
        </w:rPr>
        <w:t xml:space="preserve"> </w:t>
      </w:r>
      <w:r w:rsidRPr="006F6185">
        <w:rPr>
          <w:szCs w:val="18"/>
        </w:rPr>
        <w:t>Ohnmacht kommen. Informieren Sie daher den Arzt oder das medizinische Fachpersonal,</w:t>
      </w:r>
      <w:r>
        <w:rPr>
          <w:szCs w:val="18"/>
        </w:rPr>
        <w:t xml:space="preserve"> </w:t>
      </w:r>
      <w:r w:rsidRPr="006F6185">
        <w:rPr>
          <w:szCs w:val="18"/>
        </w:rPr>
        <w:t>wenn Sie/Ihr Kind bei einer früheren Injektion schon einmal ohnmächtig geworden sind/ist.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Wie bei jedem Impfstoff kann es sein, dass nicht bei allen Geimpften eine schützende</w:t>
      </w:r>
      <w:r>
        <w:rPr>
          <w:szCs w:val="18"/>
        </w:rPr>
        <w:t xml:space="preserve"> </w:t>
      </w:r>
      <w:r w:rsidRPr="006F6185">
        <w:rPr>
          <w:szCs w:val="18"/>
        </w:rPr>
        <w:t>Immunantwort aufgebaut wird.</w:t>
      </w:r>
    </w:p>
    <w:p w:rsidR="006F6185" w:rsidRPr="006F6185" w:rsidRDefault="006F6185" w:rsidP="006F6185">
      <w:pPr>
        <w:pStyle w:val="berschrift2"/>
      </w:pPr>
      <w:r w:rsidRPr="006F6185">
        <w:t>Anwendung von Boostrix Polio zusammen mit anderen Arzneimitteln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Informieren Sie Ihren Arzt, wenn Sie oder Ihr Kind andere Arzneimittel oder Impfstoffe</w:t>
      </w:r>
      <w:r>
        <w:rPr>
          <w:szCs w:val="18"/>
        </w:rPr>
        <w:t xml:space="preserve"> </w:t>
      </w:r>
      <w:r w:rsidRPr="006F6185">
        <w:rPr>
          <w:szCs w:val="18"/>
        </w:rPr>
        <w:t>anwenden, kürzlich andere Arzneimittel oder Impfstoffe angewendet haben oder</w:t>
      </w:r>
      <w:r>
        <w:rPr>
          <w:szCs w:val="18"/>
        </w:rPr>
        <w:t xml:space="preserve"> </w:t>
      </w:r>
      <w:r w:rsidRPr="006F6185">
        <w:rPr>
          <w:szCs w:val="18"/>
        </w:rPr>
        <w:t>beabsichtigen, andere Arzneimittel oder Impfstoffe anzuwenden.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Boostrix Polio wirkt möglicherweise nicht so gut, wenn Sie/Ihr Kind Arzneimittel</w:t>
      </w:r>
      <w:r>
        <w:rPr>
          <w:szCs w:val="18"/>
        </w:rPr>
        <w:t xml:space="preserve"> </w:t>
      </w:r>
      <w:r w:rsidRPr="006F6185">
        <w:rPr>
          <w:szCs w:val="18"/>
        </w:rPr>
        <w:t>einnehmen/einnimmt, die die Fähigkeit des Immunsystems verschlechtern, Infektionen zu</w:t>
      </w:r>
      <w:r>
        <w:rPr>
          <w:szCs w:val="18"/>
        </w:rPr>
        <w:t xml:space="preserve"> </w:t>
      </w:r>
      <w:r w:rsidRPr="006F6185">
        <w:rPr>
          <w:szCs w:val="18"/>
        </w:rPr>
        <w:t>bekämpfen.</w:t>
      </w:r>
    </w:p>
    <w:p w:rsidR="006F6185" w:rsidRPr="006F6185" w:rsidRDefault="006F6185" w:rsidP="006F6185">
      <w:pPr>
        <w:pStyle w:val="berschrift2"/>
      </w:pPr>
      <w:r w:rsidRPr="006F6185">
        <w:t>Schwangerschaft und Stillzeit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Es sind von prospektiven klinischen Studien keine humanen Daten für die Anwendung von</w:t>
      </w:r>
      <w:r>
        <w:rPr>
          <w:szCs w:val="18"/>
        </w:rPr>
        <w:t xml:space="preserve"> </w:t>
      </w:r>
      <w:r w:rsidRPr="006F6185">
        <w:rPr>
          <w:szCs w:val="18"/>
        </w:rPr>
        <w:t>Boostrix Polio während der Schwangerschaft verfügbar. Ihr Arzt wird mit Ihnen die möglichen</w:t>
      </w:r>
      <w:r>
        <w:rPr>
          <w:szCs w:val="18"/>
        </w:rPr>
        <w:t xml:space="preserve"> </w:t>
      </w:r>
      <w:r w:rsidRPr="006F6185">
        <w:rPr>
          <w:szCs w:val="18"/>
        </w:rPr>
        <w:t>Risiken und den Nutzen einer Verabreichung von Boostrix Polio während der</w:t>
      </w:r>
      <w:r>
        <w:rPr>
          <w:szCs w:val="18"/>
        </w:rPr>
        <w:t xml:space="preserve"> </w:t>
      </w:r>
      <w:r w:rsidRPr="006F6185">
        <w:rPr>
          <w:szCs w:val="18"/>
        </w:rPr>
        <w:t>Schwangerschaft besprechen.</w:t>
      </w:r>
      <w:r>
        <w:rPr>
          <w:szCs w:val="18"/>
        </w:rPr>
        <w:t xml:space="preserve"> </w:t>
      </w:r>
      <w:r w:rsidRPr="006F6185">
        <w:rPr>
          <w:szCs w:val="18"/>
        </w:rPr>
        <w:t>Es ist nicht bekannt, ob Boostrix Polio in die Muttermilch übergeht. Ihr Arzt wird mit Ihnen</w:t>
      </w:r>
      <w:r>
        <w:rPr>
          <w:szCs w:val="18"/>
        </w:rPr>
        <w:t xml:space="preserve"> </w:t>
      </w:r>
      <w:r w:rsidRPr="006F6185">
        <w:rPr>
          <w:szCs w:val="18"/>
        </w:rPr>
        <w:t>über den möglichen Nutzen und das mögliche Risiko einer Verabreichung von Boostrix Polio</w:t>
      </w:r>
      <w:r>
        <w:rPr>
          <w:szCs w:val="18"/>
        </w:rPr>
        <w:t xml:space="preserve"> </w:t>
      </w:r>
      <w:r w:rsidRPr="006F6185">
        <w:rPr>
          <w:szCs w:val="18"/>
        </w:rPr>
        <w:t>während der Stillzeit sprechen.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Wenn Sie schwanger sind oder stillen, oder wenn Sie vermuten, schwanger zu sein oder</w:t>
      </w:r>
      <w:r>
        <w:rPr>
          <w:szCs w:val="18"/>
        </w:rPr>
        <w:t xml:space="preserve"> </w:t>
      </w:r>
      <w:r w:rsidRPr="006F6185">
        <w:rPr>
          <w:szCs w:val="18"/>
        </w:rPr>
        <w:t>beabsichtigen, schwanger zu werden, fragen Sie Ihren Arzt oder Apotheker um Rat, bevor</w:t>
      </w:r>
      <w:r>
        <w:rPr>
          <w:szCs w:val="18"/>
        </w:rPr>
        <w:t xml:space="preserve"> </w:t>
      </w:r>
      <w:r w:rsidRPr="006F6185">
        <w:rPr>
          <w:szCs w:val="18"/>
        </w:rPr>
        <w:t>Ihnen oder Ihrem Kind dieses Arzneimittel verabreicht wird.</w:t>
      </w:r>
    </w:p>
    <w:p w:rsidR="006F6185" w:rsidRPr="006F6185" w:rsidRDefault="006F6185" w:rsidP="006F6185">
      <w:pPr>
        <w:pStyle w:val="berschrift2"/>
      </w:pPr>
      <w:r w:rsidRPr="006F6185">
        <w:t>Verkehrstüchtigkeit und das Bedienen von Maschinen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Es ist unwahrscheinlich, dass sich die Verabreichung von Boostrix Polio auf die</w:t>
      </w:r>
      <w:r>
        <w:rPr>
          <w:szCs w:val="18"/>
        </w:rPr>
        <w:t xml:space="preserve"> </w:t>
      </w:r>
      <w:r w:rsidRPr="006F6185">
        <w:rPr>
          <w:szCs w:val="18"/>
        </w:rPr>
        <w:t>Fahrtüchtigkeit und die Fähigkeit, Maschinen zu bedienen, auswirkt.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Dieser Impfstoff enthält Neomycin und Polymyxin (Antibiotika). Informieren Sie bitte Ihren</w:t>
      </w:r>
      <w:r>
        <w:rPr>
          <w:szCs w:val="18"/>
        </w:rPr>
        <w:t xml:space="preserve"> </w:t>
      </w:r>
      <w:r w:rsidRPr="006F6185">
        <w:rPr>
          <w:szCs w:val="18"/>
        </w:rPr>
        <w:t>Arzt, wenn Sie/Ihr Kind früher bereits eine allergische Reaktion gegenüber diesen</w:t>
      </w:r>
      <w:r>
        <w:rPr>
          <w:szCs w:val="18"/>
        </w:rPr>
        <w:t xml:space="preserve"> </w:t>
      </w:r>
      <w:r w:rsidRPr="006F6185">
        <w:rPr>
          <w:szCs w:val="18"/>
        </w:rPr>
        <w:t>Bestandteilen gezeigt haben/hat.</w:t>
      </w:r>
    </w:p>
    <w:p w:rsidR="006F6185" w:rsidRPr="006F6185" w:rsidRDefault="006F6185" w:rsidP="006F6185">
      <w:pPr>
        <w:pStyle w:val="berschrift1"/>
      </w:pPr>
      <w:r w:rsidRPr="006F6185">
        <w:t>3. Wie ist Boostrix Polio anzuwenden?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Boostrix Polio wird als Injektion in den Muskel verabreicht.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lastRenderedPageBreak/>
        <w:t xml:space="preserve">- </w:t>
      </w:r>
      <w:r w:rsidR="006F6185" w:rsidRPr="006F6185">
        <w:rPr>
          <w:szCs w:val="18"/>
        </w:rPr>
        <w:t>Der Impfstoff darf nie in ein Blutgefäß (intravasal) verabreicht werden.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Sie/Ihr Kind erhalten/erhält eine einzige Boostrix Polio-Impfung.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Ihr Arzt wird feststellen, ob Sie/Ihr Kind vorhergehende Impfungen gegen Diphterie,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Tetanus (Wundstarrkrampf), Pertussis (Keuchhusten) oder Polio erhalten haben/hat.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Boostrix Polio kann bei Ihnen/Ihrem Kind auch zur Vorbeugung gegen Tetanus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(Wundstarrkrampf) bei einer Verletzung geimpft werden, obwohl zusätzliche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Vorkehrungen, wie beispielsweise das sorgfältige Verbinden der Wunde und/oder die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Verabreichung von Tetanus-Antitoxin zur Verringerung des Risikos eines Ausbruchs</w:t>
      </w:r>
      <w:r w:rsidR="006F6185">
        <w:rPr>
          <w:szCs w:val="18"/>
        </w:rPr>
        <w:t xml:space="preserve"> </w:t>
      </w:r>
      <w:r w:rsidR="006F6185" w:rsidRPr="006F6185">
        <w:rPr>
          <w:szCs w:val="18"/>
        </w:rPr>
        <w:t>der Erkrankung getroffen werden.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Ihr Arzt wird Sie bezüglich einer Wiederholungsimpfung beraten.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Jede Verabreichung soll mittels beigefügter Selbstklebeetikette im Impfpass dokumentiert</w:t>
      </w:r>
      <w:r>
        <w:rPr>
          <w:szCs w:val="18"/>
        </w:rPr>
        <w:t xml:space="preserve"> </w:t>
      </w:r>
      <w:r w:rsidRPr="006F6185">
        <w:rPr>
          <w:szCs w:val="18"/>
        </w:rPr>
        <w:t>werden.</w:t>
      </w:r>
    </w:p>
    <w:p w:rsidR="006F6185" w:rsidRPr="006F6185" w:rsidRDefault="006F6185" w:rsidP="006F6185">
      <w:pPr>
        <w:pStyle w:val="berschrift1"/>
      </w:pPr>
      <w:r w:rsidRPr="006F6185">
        <w:t>4. Welche Nebenwirkungen sind möglich?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Wie alle Arzneimittel kann dieser Impfstoff Nebenwirkungen haben, die aber nicht bei jedem</w:t>
      </w:r>
      <w:r>
        <w:rPr>
          <w:szCs w:val="18"/>
        </w:rPr>
        <w:t xml:space="preserve"> </w:t>
      </w:r>
      <w:r w:rsidRPr="006F6185">
        <w:rPr>
          <w:szCs w:val="18"/>
        </w:rPr>
        <w:t>auftreten müssen.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Wie bei allen Injektionsimpfstoffen können schwere allergische Reaktionen (anaphylaktische</w:t>
      </w:r>
      <w:r>
        <w:rPr>
          <w:szCs w:val="18"/>
        </w:rPr>
        <w:t xml:space="preserve"> </w:t>
      </w:r>
      <w:r w:rsidRPr="006F6185">
        <w:rPr>
          <w:szCs w:val="18"/>
        </w:rPr>
        <w:t>und anaphylaktoide Reaktionen) sehr selten (weniger als 1 Fall pro 10.000 verimpften</w:t>
      </w:r>
      <w:r>
        <w:rPr>
          <w:szCs w:val="18"/>
        </w:rPr>
        <w:t xml:space="preserve"> </w:t>
      </w:r>
      <w:r w:rsidRPr="006F6185">
        <w:rPr>
          <w:szCs w:val="18"/>
        </w:rPr>
        <w:t>Dosen) auftreten. Anzeichen hierfür können sein: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Ausschlag, der jucken oder Blasen bilden kann</w:t>
      </w:r>
      <w:r>
        <w:rPr>
          <w:szCs w:val="18"/>
        </w:rPr>
        <w:t xml:space="preserve">, 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Schwellung der Augenpartie und des Gesichts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Erschwertes Atmen oder Schlucken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Plötzlicher Blutdruckabfall und Bewusstseinsverlust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Solche Reaktionen erscheinen gewöhnlich noch bevor Sie die Arztpraxis verlassen.</w:t>
      </w:r>
      <w:r>
        <w:rPr>
          <w:szCs w:val="18"/>
        </w:rPr>
        <w:t xml:space="preserve"> </w:t>
      </w:r>
      <w:r w:rsidRPr="006F6185">
        <w:rPr>
          <w:szCs w:val="18"/>
        </w:rPr>
        <w:t>Kontaktieren Sie in jedem Fall unverzüglich einen Arzt, wenn Sie eines dieser</w:t>
      </w:r>
      <w:r>
        <w:rPr>
          <w:szCs w:val="18"/>
        </w:rPr>
        <w:t xml:space="preserve"> </w:t>
      </w:r>
      <w:r w:rsidRPr="006F6185">
        <w:rPr>
          <w:szCs w:val="18"/>
        </w:rPr>
        <w:t>Anzeichen bemerken.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Die Häufigkeit der möglichen Nebenwirkungen ist folgendermaßen definiert: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Sehr häufig (betrifft mehr als 1 Behandelten von 10)</w:t>
      </w:r>
      <w:r w:rsidR="00B50FB8">
        <w:rPr>
          <w:szCs w:val="18"/>
        </w:rPr>
        <w:t>, h</w:t>
      </w:r>
      <w:r w:rsidRPr="006F6185">
        <w:rPr>
          <w:szCs w:val="18"/>
        </w:rPr>
        <w:t>äufig (betrifft 1 bis 10 Behandelte von 100)</w:t>
      </w:r>
      <w:r w:rsidR="00B50FB8">
        <w:rPr>
          <w:szCs w:val="18"/>
        </w:rPr>
        <w:t>, g</w:t>
      </w:r>
      <w:r w:rsidRPr="006F6185">
        <w:rPr>
          <w:szCs w:val="18"/>
        </w:rPr>
        <w:t>elegentlich (1 bis 10 Behandelte von 1000)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Selten (1 bis 10 Behandelte von 10.000)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Sehr selten (betrifft weniger als 1 Behandelten von 10.000)</w:t>
      </w:r>
    </w:p>
    <w:p w:rsidR="006F6185" w:rsidRPr="0094368D" w:rsidRDefault="006F6185" w:rsidP="006F6185">
      <w:pPr>
        <w:rPr>
          <w:b/>
          <w:szCs w:val="18"/>
        </w:rPr>
      </w:pPr>
      <w:r w:rsidRPr="0094368D">
        <w:rPr>
          <w:b/>
          <w:szCs w:val="18"/>
        </w:rPr>
        <w:t>Nebenwirkungen, die in klinischen Studien bei Kindern von vier bis acht Jahren auftraten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t>Sehr häufig:</w:t>
      </w:r>
      <w:r w:rsidR="00B50FB8">
        <w:rPr>
          <w:b/>
          <w:szCs w:val="18"/>
        </w:rPr>
        <w:t xml:space="preserve"> </w:t>
      </w:r>
      <w:r w:rsidRPr="006F6185">
        <w:rPr>
          <w:szCs w:val="18"/>
        </w:rPr>
        <w:t>Schmerzen, Rötung und/oder Schwellung an der Injektionsstelle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Schläfrigkeit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t>Häufig</w:t>
      </w:r>
      <w:r w:rsidRPr="006F6185">
        <w:rPr>
          <w:szCs w:val="18"/>
        </w:rPr>
        <w:t>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Fieber von oder höher als 37,5 °C (einschließlich Fieber gleich oder höher 39 °C)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Bluten, Juckreiz und Verhärtung an der Injektionsstelle</w:t>
      </w:r>
      <w:r w:rsidR="0094368D">
        <w:rPr>
          <w:szCs w:val="18"/>
        </w:rPr>
        <w:t>, g</w:t>
      </w:r>
      <w:r w:rsidRPr="006F6185">
        <w:rPr>
          <w:szCs w:val="18"/>
        </w:rPr>
        <w:t>roße Schwellung der Gliedmaße, in die injiziert wurde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Appetitverlust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Reizbarkeit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 xml:space="preserve"> Kopfschmerzen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t>Gelegentlich</w:t>
      </w:r>
      <w:r w:rsidRPr="006F6185">
        <w:rPr>
          <w:szCs w:val="18"/>
        </w:rPr>
        <w:t>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Durchfall, Übelkeit, Erbrechen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Magenschmerzen</w:t>
      </w:r>
      <w:r w:rsidR="0094368D">
        <w:rPr>
          <w:szCs w:val="18"/>
        </w:rPr>
        <w:t>, g</w:t>
      </w:r>
      <w:r w:rsidRPr="006F6185">
        <w:rPr>
          <w:szCs w:val="18"/>
        </w:rPr>
        <w:t>eschwollene Lymphdrüsen in Nacken, Achselhöhlen oder Lenden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(Lymphadenopathie)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Schlafstörungen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Teilnahmslosigkeit</w:t>
      </w:r>
      <w:r w:rsidR="0094368D">
        <w:rPr>
          <w:szCs w:val="18"/>
        </w:rPr>
        <w:t>, t</w:t>
      </w:r>
      <w:r w:rsidRPr="006F6185">
        <w:rPr>
          <w:szCs w:val="18"/>
        </w:rPr>
        <w:t>rockener Hals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Müdigkeit</w:t>
      </w:r>
    </w:p>
    <w:p w:rsidR="006F6185" w:rsidRPr="0094368D" w:rsidRDefault="006F6185" w:rsidP="006F6185">
      <w:pPr>
        <w:rPr>
          <w:b/>
          <w:szCs w:val="18"/>
        </w:rPr>
      </w:pPr>
      <w:r w:rsidRPr="0094368D">
        <w:rPr>
          <w:b/>
          <w:szCs w:val="18"/>
        </w:rPr>
        <w:t>Nebenwirkungen, die während klinischer Studien bei Erwachsenen, Jugendlichen und</w:t>
      </w:r>
      <w:r w:rsidR="0094368D">
        <w:rPr>
          <w:b/>
          <w:szCs w:val="18"/>
        </w:rPr>
        <w:t xml:space="preserve"> </w:t>
      </w:r>
      <w:r w:rsidRPr="0094368D">
        <w:rPr>
          <w:b/>
          <w:szCs w:val="18"/>
        </w:rPr>
        <w:t>Kindern ab einem Alter von zehn Jahren auftraten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lastRenderedPageBreak/>
        <w:t>Sehr häufig</w:t>
      </w:r>
      <w:r w:rsidRPr="006F6185">
        <w:rPr>
          <w:szCs w:val="18"/>
        </w:rPr>
        <w:t>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Schmerzen, Rötung und Schwellung an der Injektionsstelle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Müdigkeit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Kopfschmerzen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t>Häufig</w:t>
      </w:r>
      <w:r w:rsidRPr="006F6185">
        <w:rPr>
          <w:szCs w:val="18"/>
        </w:rPr>
        <w:t>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Fieber 37,5 °C oder höher</w:t>
      </w:r>
      <w:r w:rsidR="0094368D">
        <w:rPr>
          <w:szCs w:val="18"/>
        </w:rPr>
        <w:t>, b</w:t>
      </w:r>
      <w:r w:rsidRPr="006F6185">
        <w:rPr>
          <w:szCs w:val="18"/>
        </w:rPr>
        <w:t>laue Flecken, Juckreiz, Verhärtung, Wärmegefühl oder Taubheit an der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Injektionsstelle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Magenschmerzen, Übelkeit, Erbrechen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t>Gelegentlich</w:t>
      </w:r>
      <w:r w:rsidRPr="006F6185">
        <w:rPr>
          <w:szCs w:val="18"/>
        </w:rPr>
        <w:t xml:space="preserve"> (betrifft 1 bis 10 Behandelte von 1.000):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Fieber höher als 39 °C</w:t>
      </w:r>
      <w:r w:rsidR="0094368D">
        <w:rPr>
          <w:szCs w:val="18"/>
        </w:rPr>
        <w:t>, g</w:t>
      </w:r>
      <w:r w:rsidRPr="006F6185">
        <w:rPr>
          <w:szCs w:val="18"/>
        </w:rPr>
        <w:t>roße Schwellung der Gliedmaße, in die injiziert wurde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Kältegefühl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Schmerzen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Schwindel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Gelenks- und Muskelschmerzen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Juckreiz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Herpes im Mund</w:t>
      </w:r>
      <w:r w:rsidR="0094368D">
        <w:rPr>
          <w:szCs w:val="18"/>
        </w:rPr>
        <w:t>, g</w:t>
      </w:r>
      <w:r w:rsidRPr="006F6185">
        <w:rPr>
          <w:szCs w:val="18"/>
        </w:rPr>
        <w:t>eschwollene Lymphknoten in Hals, Achselhöhlen oder Lenden (Lymphadenopathie)</w:t>
      </w:r>
      <w:r w:rsidR="0094368D">
        <w:rPr>
          <w:szCs w:val="18"/>
        </w:rPr>
        <w:t>, v</w:t>
      </w:r>
      <w:r w:rsidRPr="006F6185">
        <w:rPr>
          <w:szCs w:val="18"/>
        </w:rPr>
        <w:t>erminderter Appetit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Kribbeln oder Taubheitsgefühl in Händen oder Füßen (Parästhesie)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Schläfrigkeit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Asthma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Die folgenden Nebenwirkungen wurden bei der routinemäßigen Anwendung von Boostrix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Polio festgestellt und beziehen sich nicht auf eine spezielle Altersgruppe: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Kollaps oder vorübergehende Bewusstlosigkeit</w:t>
      </w:r>
      <w:r w:rsidR="0094368D">
        <w:rPr>
          <w:szCs w:val="18"/>
        </w:rPr>
        <w:t>, a</w:t>
      </w:r>
      <w:r w:rsidR="006F6185" w:rsidRPr="006F6185">
        <w:rPr>
          <w:szCs w:val="18"/>
        </w:rPr>
        <w:t>nschwellen von Gesicht, Lippen, Mund, Zunge oder Kehle, wodurch es zu</w:t>
      </w:r>
      <w:r w:rsidR="0094368D">
        <w:rPr>
          <w:szCs w:val="18"/>
        </w:rPr>
        <w:t xml:space="preserve"> </w:t>
      </w:r>
      <w:r w:rsidR="006F6185" w:rsidRPr="006F6185">
        <w:rPr>
          <w:szCs w:val="18"/>
        </w:rPr>
        <w:t>Schwierigkeiten beim Schlucken ode</w:t>
      </w:r>
      <w:r w:rsidR="0094368D">
        <w:rPr>
          <w:szCs w:val="18"/>
        </w:rPr>
        <w:t xml:space="preserve">r Atmen kommen kann (Angioödem), </w:t>
      </w:r>
      <w:r w:rsidR="006F6185" w:rsidRPr="006F6185">
        <w:rPr>
          <w:szCs w:val="18"/>
        </w:rPr>
        <w:t>Krampfanfälle (mit oder ohne Fieber)</w:t>
      </w:r>
      <w:r w:rsidR="0094368D">
        <w:rPr>
          <w:szCs w:val="18"/>
        </w:rPr>
        <w:t xml:space="preserve">, </w:t>
      </w:r>
      <w:r w:rsidR="006F6185" w:rsidRPr="006F6185">
        <w:rPr>
          <w:szCs w:val="18"/>
        </w:rPr>
        <w:t>Nesselausschlag (Urtikaria)</w:t>
      </w:r>
      <w:r w:rsidR="0094368D">
        <w:rPr>
          <w:szCs w:val="18"/>
        </w:rPr>
        <w:t>, u</w:t>
      </w:r>
      <w:r w:rsidR="006F6185" w:rsidRPr="006F6185">
        <w:rPr>
          <w:szCs w:val="18"/>
        </w:rPr>
        <w:t>nübliche Schwäche (Asthenia)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b/>
          <w:szCs w:val="18"/>
        </w:rPr>
        <w:t>Zusätzlich</w:t>
      </w:r>
      <w:r w:rsidRPr="006F6185">
        <w:rPr>
          <w:szCs w:val="18"/>
        </w:rPr>
        <w:t xml:space="preserve"> traten folgende Nebenwirkungen während klinischer Studien mit Boostrix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(GlaxoSmithKlines Impfstoff gegen Diphtherie, Tetanus und Pertussis) auf:</w:t>
      </w:r>
    </w:p>
    <w:p w:rsidR="006F6185" w:rsidRPr="0094368D" w:rsidRDefault="006F6185" w:rsidP="006F6185">
      <w:pPr>
        <w:rPr>
          <w:b/>
          <w:szCs w:val="18"/>
        </w:rPr>
      </w:pPr>
      <w:r w:rsidRPr="0094368D">
        <w:rPr>
          <w:b/>
          <w:szCs w:val="18"/>
        </w:rPr>
        <w:t>Nebenwirkungen bei Kindern von 4 bis 8 Jahren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Gelegentlich: Infektion der oberen Atemwege, Aufmerksamkeitsstörungen, tränende</w:t>
      </w:r>
      <w:r w:rsidR="0094368D">
        <w:rPr>
          <w:szCs w:val="18"/>
        </w:rPr>
        <w:t xml:space="preserve">, </w:t>
      </w:r>
      <w:r w:rsidR="006F6185" w:rsidRPr="006F6185">
        <w:rPr>
          <w:szCs w:val="18"/>
        </w:rPr>
        <w:t>Augen mit juckenden und verkrusteten Augenlidern (Bindehautentzündung),</w:t>
      </w:r>
      <w:r w:rsidR="0094368D">
        <w:rPr>
          <w:szCs w:val="18"/>
        </w:rPr>
        <w:t xml:space="preserve"> </w:t>
      </w:r>
      <w:r w:rsidR="006F6185" w:rsidRPr="006F6185">
        <w:rPr>
          <w:szCs w:val="18"/>
        </w:rPr>
        <w:t>Hautrötung, Schmerzen</w:t>
      </w:r>
    </w:p>
    <w:p w:rsidR="006F6185" w:rsidRPr="0094368D" w:rsidRDefault="006F6185" w:rsidP="006F6185">
      <w:pPr>
        <w:rPr>
          <w:b/>
          <w:szCs w:val="18"/>
        </w:rPr>
      </w:pPr>
      <w:r w:rsidRPr="0094368D">
        <w:rPr>
          <w:b/>
          <w:szCs w:val="18"/>
        </w:rPr>
        <w:t>Nebenwirkungen bei Erwachsenen, Jugendlichen und Kindern ab 10 Jahren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Sehr häufig: allgemeines Unwohlsein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Häufig: harter Knoten oder Abszess an der Einstichstelle</w:t>
      </w:r>
    </w:p>
    <w:p w:rsidR="006F6185" w:rsidRPr="006F6185" w:rsidRDefault="00B50FB8" w:rsidP="006F6185">
      <w:pPr>
        <w:rPr>
          <w:szCs w:val="18"/>
        </w:rPr>
      </w:pPr>
      <w:r>
        <w:rPr>
          <w:szCs w:val="18"/>
        </w:rPr>
        <w:t xml:space="preserve">- </w:t>
      </w:r>
      <w:r w:rsidR="006F6185" w:rsidRPr="006F6185">
        <w:rPr>
          <w:szCs w:val="18"/>
        </w:rPr>
        <w:t>Gelegentlich: Infektion der oberen Atemwege, Halsweh und Schluckbeschwerden</w:t>
      </w:r>
      <w:r w:rsidR="0094368D">
        <w:rPr>
          <w:szCs w:val="18"/>
        </w:rPr>
        <w:t xml:space="preserve"> </w:t>
      </w:r>
      <w:r w:rsidR="006F6185" w:rsidRPr="006F6185">
        <w:rPr>
          <w:szCs w:val="18"/>
        </w:rPr>
        <w:t>(Pharyngitis), Ohnmachtsanfälle (Synkope), Husten, Durchfall, starkes Schwitzen</w:t>
      </w:r>
      <w:r w:rsidR="0094368D">
        <w:rPr>
          <w:szCs w:val="18"/>
        </w:rPr>
        <w:t xml:space="preserve"> </w:t>
      </w:r>
      <w:r w:rsidR="006F6185" w:rsidRPr="006F6185">
        <w:rPr>
          <w:szCs w:val="18"/>
        </w:rPr>
        <w:t>(Hyperhydrose), Hautrötung, Gelenks- und Muskelsteife, grippeähnliche Symptome</w:t>
      </w:r>
      <w:r w:rsidR="0094368D">
        <w:rPr>
          <w:szCs w:val="18"/>
        </w:rPr>
        <w:t xml:space="preserve"> </w:t>
      </w:r>
      <w:r w:rsidR="006F6185" w:rsidRPr="006F6185">
        <w:rPr>
          <w:szCs w:val="18"/>
        </w:rPr>
        <w:t>wie entzündeter Hals, rinnende Nase, Husten und Kältegefühl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Nach einer Impfung gegen Tetanus wurde sehr selten (in bis zu 1 pro 10.000 Impfdosen)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über eine vorübergehende Nervenentzündung berichtet. Diese verursacht Schmerzen,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Schwäche und Lähmungen der Extremitäten und breitet sich häufig bis zur Brust und zum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Gesicht aus (Guillain-Barré-Syndrom).</w:t>
      </w:r>
    </w:p>
    <w:p w:rsidR="006F6185" w:rsidRPr="006F6185" w:rsidRDefault="006F6185" w:rsidP="0094368D">
      <w:pPr>
        <w:pStyle w:val="berschrift2"/>
      </w:pPr>
      <w:r w:rsidRPr="006F6185">
        <w:t>Meldung von Nebenwirkungen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Wenn Sie oder Ihr Kind Nebenwirkungen bemerken, wenden Sie sich an Ihren Arzt oder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Apotheker. Dies gilt auch für Nebenwirkungen, die nicht in dieser Packungsbeilage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angegeben sind. Sie können Nebenwirkungen auch direkt über das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Bundesamt für Sicherheit im Gesundheitswesen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Traisengasse 5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1200 WIEN</w:t>
      </w:r>
      <w:r w:rsidR="0094368D">
        <w:rPr>
          <w:szCs w:val="18"/>
        </w:rPr>
        <w:t xml:space="preserve">, </w:t>
      </w:r>
      <w:r w:rsidRPr="006F6185">
        <w:rPr>
          <w:szCs w:val="18"/>
        </w:rPr>
        <w:t>Fax: + 43 (0) 50 555 36207</w:t>
      </w:r>
      <w:r w:rsidR="00B50FB8" w:rsidRPr="00B50FB8">
        <w:rPr>
          <w:szCs w:val="18"/>
        </w:rPr>
        <w:t xml:space="preserve"> </w:t>
      </w:r>
      <w:r w:rsidR="00B50FB8" w:rsidRPr="006F6185">
        <w:rPr>
          <w:szCs w:val="18"/>
        </w:rPr>
        <w:t>anzeigen</w:t>
      </w:r>
      <w:r w:rsidR="00B50FB8">
        <w:rPr>
          <w:szCs w:val="18"/>
        </w:rPr>
        <w:t>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lastRenderedPageBreak/>
        <w:t>Indem Sie Nebenwirkungen melden, können Sie dazu beitragen, dass mehr Informationen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über die Sicherheit dieses Arzneimittels zur Verfügung gestellt werden.</w:t>
      </w:r>
    </w:p>
    <w:p w:rsidR="006F6185" w:rsidRPr="006F6185" w:rsidRDefault="006F6185" w:rsidP="0094368D">
      <w:pPr>
        <w:pStyle w:val="berschrift1"/>
      </w:pPr>
      <w:r w:rsidRPr="006F6185">
        <w:t>5. Wie ist Boostrix Polio aufzubewahren?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Bewahren Sie dieses Arzneimittel außer Sicht und Erreichbarkeit für Kinder auf.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Das Arzneimittel darf nach dem auf dem Umkarton und der Fertigspritze nach „Verwendbar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bis“ angegebenen Verfalldatum nicht mehr angewendet werden. Das Verfalldatum bezieht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sich auf den letzten Tag des Monats.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Im Kühlschrank lagern (2 ºC bis 8 ºC).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Nicht einfrieren. Durch Gefrieren wird der Impfstoff zerstört.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In der Originalverpackung aufbewahren, um den Inhalt vor Licht zu schützen.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Entsorgen Sie Arzneimittel nicht im Abwasser oder Haushaltsabfall. Fragen Sie Ihren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Apotheker, wie das Arzneimittel zu entsorgen ist, wenn Sie oder Ihr Kind es nicht mehr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verwenden. Sie tragen damit zum Schutz der Umwelt bei.</w:t>
      </w:r>
    </w:p>
    <w:p w:rsidR="006F6185" w:rsidRPr="006F6185" w:rsidRDefault="006F6185" w:rsidP="0094368D">
      <w:pPr>
        <w:pStyle w:val="berschrift1"/>
      </w:pPr>
      <w:r w:rsidRPr="006F6185">
        <w:t>6. Inhalt der Packung und weitere Informationen</w:t>
      </w:r>
    </w:p>
    <w:p w:rsidR="006F6185" w:rsidRPr="00B50FB8" w:rsidRDefault="006F6185" w:rsidP="006F6185">
      <w:pPr>
        <w:rPr>
          <w:b/>
          <w:szCs w:val="18"/>
        </w:rPr>
      </w:pPr>
      <w:r w:rsidRPr="00B50FB8">
        <w:rPr>
          <w:b/>
          <w:szCs w:val="18"/>
        </w:rPr>
        <w:t>Was Boostrix Polio enthält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- Die Wirkstoffe sind: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Diphtherietoxoid</w:t>
      </w:r>
      <w:r w:rsidRPr="0094368D">
        <w:rPr>
          <w:szCs w:val="18"/>
          <w:vertAlign w:val="superscript"/>
        </w:rPr>
        <w:t>1</w:t>
      </w:r>
      <w:r w:rsidRPr="006F6185">
        <w:rPr>
          <w:szCs w:val="18"/>
        </w:rPr>
        <w:t xml:space="preserve"> mindestens 2 Internationale Einheiten (I.E.) (2,5 Lf.)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Tetanustoxoid</w:t>
      </w:r>
      <w:r w:rsidRPr="0094368D">
        <w:rPr>
          <w:szCs w:val="18"/>
          <w:vertAlign w:val="superscript"/>
        </w:rPr>
        <w:t>1</w:t>
      </w:r>
      <w:r w:rsidRPr="006F6185">
        <w:rPr>
          <w:szCs w:val="18"/>
        </w:rPr>
        <w:t xml:space="preserve"> mindestens 20 Internationale Einheiten (I.E.) (5 Lf.)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Antigene von Bordetella pertussis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Pertussistoxoid</w:t>
      </w:r>
      <w:r w:rsidRPr="0094368D">
        <w:rPr>
          <w:szCs w:val="18"/>
          <w:vertAlign w:val="superscript"/>
        </w:rPr>
        <w:t>1</w:t>
      </w:r>
      <w:r w:rsidRPr="006F6185">
        <w:rPr>
          <w:szCs w:val="18"/>
        </w:rPr>
        <w:t xml:space="preserve"> 8 Mikrogramm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Filamentöses Hämagglutinin</w:t>
      </w:r>
      <w:r w:rsidRPr="0094368D">
        <w:rPr>
          <w:szCs w:val="18"/>
          <w:vertAlign w:val="superscript"/>
        </w:rPr>
        <w:t>1</w:t>
      </w:r>
      <w:r w:rsidRPr="006F6185">
        <w:rPr>
          <w:szCs w:val="18"/>
        </w:rPr>
        <w:t xml:space="preserve"> 8 Mikrogramm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>Pertactin</w:t>
      </w:r>
      <w:r w:rsidRPr="0094368D">
        <w:rPr>
          <w:szCs w:val="18"/>
          <w:vertAlign w:val="superscript"/>
        </w:rPr>
        <w:t>1</w:t>
      </w:r>
      <w:r w:rsidRPr="006F6185">
        <w:rPr>
          <w:szCs w:val="18"/>
        </w:rPr>
        <w:t xml:space="preserve"> 2,5 Mikrogramm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Inaktiviertes Poliomyelitisvirus</w:t>
      </w:r>
      <w:r w:rsidR="00B50FB8">
        <w:rPr>
          <w:szCs w:val="18"/>
        </w:rPr>
        <w:t xml:space="preserve">: </w:t>
      </w:r>
      <w:r w:rsidRPr="006F6185">
        <w:rPr>
          <w:szCs w:val="18"/>
        </w:rPr>
        <w:t xml:space="preserve">Typ 1 (Mahoney-Stamm) </w:t>
      </w:r>
      <w:r w:rsidRPr="0094368D">
        <w:rPr>
          <w:szCs w:val="18"/>
          <w:vertAlign w:val="superscript"/>
        </w:rPr>
        <w:t>2</w:t>
      </w:r>
      <w:r w:rsidRPr="006F6185">
        <w:rPr>
          <w:szCs w:val="18"/>
        </w:rPr>
        <w:t xml:space="preserve"> 40 D-Antigeneinheiten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 xml:space="preserve">Typ 2 (MEF-1 Stamm) </w:t>
      </w:r>
      <w:r w:rsidRPr="0094368D">
        <w:rPr>
          <w:szCs w:val="18"/>
          <w:vertAlign w:val="superscript"/>
        </w:rPr>
        <w:t>2</w:t>
      </w:r>
      <w:r w:rsidRPr="006F6185">
        <w:rPr>
          <w:szCs w:val="18"/>
        </w:rPr>
        <w:t xml:space="preserve"> 8 D-Antigeneinheiten</w:t>
      </w:r>
      <w:r w:rsidR="00B50FB8">
        <w:rPr>
          <w:szCs w:val="18"/>
        </w:rPr>
        <w:t xml:space="preserve">, </w:t>
      </w:r>
      <w:r w:rsidRPr="006F6185">
        <w:rPr>
          <w:szCs w:val="18"/>
        </w:rPr>
        <w:t xml:space="preserve">Typ 3 (Saukett- Stamm) </w:t>
      </w:r>
      <w:r w:rsidRPr="0094368D">
        <w:rPr>
          <w:szCs w:val="18"/>
          <w:vertAlign w:val="superscript"/>
        </w:rPr>
        <w:t>2</w:t>
      </w:r>
      <w:r w:rsidRPr="006F6185">
        <w:rPr>
          <w:szCs w:val="18"/>
        </w:rPr>
        <w:t xml:space="preserve"> 32 D-Antigeneinheiten</w:t>
      </w:r>
    </w:p>
    <w:p w:rsidR="00B50FB8" w:rsidRDefault="006F6185" w:rsidP="006F6185">
      <w:pPr>
        <w:rPr>
          <w:szCs w:val="18"/>
        </w:rPr>
      </w:pPr>
      <w:r w:rsidRPr="0094368D">
        <w:rPr>
          <w:szCs w:val="18"/>
          <w:vertAlign w:val="superscript"/>
        </w:rPr>
        <w:t>1</w:t>
      </w:r>
      <w:r w:rsidRPr="006F6185">
        <w:rPr>
          <w:szCs w:val="18"/>
        </w:rPr>
        <w:t xml:space="preserve"> adsorbiert an wasserhaltiges Aluminiumhydroxid (Al(OH)3) 0,3 Milligramm Al3+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und Aluminiumphosphat (AlPO4) 0,2 Milligramm Al3+</w:t>
      </w:r>
      <w:r w:rsidR="0094368D">
        <w:rPr>
          <w:szCs w:val="18"/>
        </w:rPr>
        <w:t xml:space="preserve"> </w:t>
      </w:r>
    </w:p>
    <w:p w:rsidR="006F6185" w:rsidRPr="006F6185" w:rsidRDefault="006F6185" w:rsidP="006F6185">
      <w:pPr>
        <w:rPr>
          <w:szCs w:val="18"/>
        </w:rPr>
      </w:pPr>
      <w:r w:rsidRPr="0094368D">
        <w:rPr>
          <w:szCs w:val="18"/>
          <w:vertAlign w:val="superscript"/>
        </w:rPr>
        <w:t>2</w:t>
      </w:r>
      <w:r w:rsidRPr="006F6185">
        <w:rPr>
          <w:szCs w:val="18"/>
        </w:rPr>
        <w:t xml:space="preserve"> vermehrt in VERO-Zellen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In diesem Impfstoff sind Aluminiumhydroxid und Aluminiumphosphat als Adjuvantien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enthalten. Adjuvantien sind Substanzen, die bestimmten Impfstoffen zugesetzt werden,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um die Schutzwirkung des Impfstoffes zu beschleunigen, zu verbessern und/oder zu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verlängern.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- Die sonstigen Bestandteile sind: Medium 199 (als Stabilisator bestehend aus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Aminosäuren, Mineralsalzen und Vitaminen), Natriumchlorid, Wasser für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Injektionszwecke.</w:t>
      </w:r>
    </w:p>
    <w:p w:rsidR="006F6185" w:rsidRPr="00B50FB8" w:rsidRDefault="006F6185" w:rsidP="00B50FB8">
      <w:pPr>
        <w:rPr>
          <w:b/>
          <w:szCs w:val="18"/>
        </w:rPr>
      </w:pPr>
      <w:r w:rsidRPr="00B50FB8">
        <w:rPr>
          <w:b/>
          <w:szCs w:val="18"/>
        </w:rPr>
        <w:t>Wie Boostrix Polio aussieht und Inhalt der Packung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Boostrix Polio ist eine weiße, leicht milchige Flüssigkeit, die in einer Fertigspritze (0,5 ml)</w:t>
      </w:r>
      <w:r w:rsidR="0094368D">
        <w:rPr>
          <w:szCs w:val="18"/>
        </w:rPr>
        <w:t xml:space="preserve"> </w:t>
      </w:r>
      <w:r w:rsidRPr="006F6185">
        <w:rPr>
          <w:szCs w:val="18"/>
        </w:rPr>
        <w:t>enthalten ist.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Pharmazeutischer Unternehmer:</w:t>
      </w:r>
      <w:r w:rsidR="00B50FB8">
        <w:rPr>
          <w:szCs w:val="18"/>
        </w:rPr>
        <w:t xml:space="preserve"> </w:t>
      </w:r>
      <w:r w:rsidRPr="006F6185">
        <w:rPr>
          <w:szCs w:val="18"/>
        </w:rPr>
        <w:t>GlaxoSmithKline Pharma GmbH, Wien.</w:t>
      </w:r>
    </w:p>
    <w:p w:rsidR="006F6185" w:rsidRPr="006F6185" w:rsidRDefault="006F6185" w:rsidP="006F6185">
      <w:pPr>
        <w:rPr>
          <w:szCs w:val="18"/>
        </w:rPr>
      </w:pPr>
      <w:r w:rsidRPr="006F6185">
        <w:rPr>
          <w:szCs w:val="18"/>
        </w:rPr>
        <w:t>Hersteller</w:t>
      </w:r>
      <w:r w:rsidR="00B50FB8">
        <w:rPr>
          <w:szCs w:val="18"/>
        </w:rPr>
        <w:t xml:space="preserve">: </w:t>
      </w:r>
      <w:r w:rsidRPr="006F6185">
        <w:rPr>
          <w:szCs w:val="18"/>
        </w:rPr>
        <w:t>GlaxoSmithKline Biologicals s. a., Rixensart, Belgien</w:t>
      </w:r>
    </w:p>
    <w:p w:rsidR="006F6185" w:rsidRPr="00B50FB8" w:rsidRDefault="006F6185" w:rsidP="006F6185">
      <w:pPr>
        <w:rPr>
          <w:szCs w:val="18"/>
          <w:lang w:val="de-DE"/>
        </w:rPr>
      </w:pPr>
      <w:r w:rsidRPr="00B50FB8">
        <w:rPr>
          <w:szCs w:val="18"/>
          <w:lang w:val="de-DE"/>
        </w:rPr>
        <w:t>Zulassungsnummer: 2-00302</w:t>
      </w:r>
    </w:p>
    <w:p w:rsidR="002C4071" w:rsidRPr="006F6185" w:rsidRDefault="006F6185" w:rsidP="006F6185">
      <w:pPr>
        <w:rPr>
          <w:szCs w:val="18"/>
        </w:rPr>
      </w:pPr>
      <w:r w:rsidRPr="006F6185">
        <w:rPr>
          <w:szCs w:val="18"/>
        </w:rPr>
        <w:t xml:space="preserve">Diese Gebrauchsinformation wurde zuletzt überarbeitet im </w:t>
      </w:r>
      <w:r w:rsidRPr="006F6185">
        <w:rPr>
          <w:b/>
          <w:szCs w:val="18"/>
        </w:rPr>
        <w:t>August 2016</w:t>
      </w:r>
      <w:r w:rsidRPr="006F6185">
        <w:rPr>
          <w:szCs w:val="18"/>
        </w:rPr>
        <w:t>.</w:t>
      </w:r>
    </w:p>
    <w:sectPr w:rsidR="002C4071" w:rsidRPr="006F6185" w:rsidSect="00032744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A541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14E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968D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64C7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2A27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5"/>
    <w:rsid w:val="00032744"/>
    <w:rsid w:val="000358E4"/>
    <w:rsid w:val="001A78F9"/>
    <w:rsid w:val="001F2D1A"/>
    <w:rsid w:val="002C4071"/>
    <w:rsid w:val="00301985"/>
    <w:rsid w:val="003130A7"/>
    <w:rsid w:val="00465F50"/>
    <w:rsid w:val="00631222"/>
    <w:rsid w:val="006C349A"/>
    <w:rsid w:val="006F6185"/>
    <w:rsid w:val="00800A69"/>
    <w:rsid w:val="008B6E78"/>
    <w:rsid w:val="0094368D"/>
    <w:rsid w:val="009557EB"/>
    <w:rsid w:val="00AC71F1"/>
    <w:rsid w:val="00B50FB8"/>
    <w:rsid w:val="00F4528D"/>
    <w:rsid w:val="00F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E78"/>
    <w:pPr>
      <w:spacing w:after="60"/>
      <w:jc w:val="both"/>
    </w:pPr>
    <w:rPr>
      <w:rFonts w:ascii="Arial Narrow" w:hAnsi="Arial Narrow"/>
      <w:sz w:val="18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49A"/>
    <w:pPr>
      <w:keepNext/>
      <w:spacing w:before="240" w:after="12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7EB"/>
    <w:pPr>
      <w:keepNext/>
      <w:spacing w:before="60"/>
      <w:outlineLvl w:val="1"/>
    </w:pPr>
    <w:rPr>
      <w:rFonts w:eastAsia="Times New Roman"/>
      <w:b/>
      <w:bCs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349A"/>
    <w:rPr>
      <w:rFonts w:ascii="Arial Narrow" w:hAnsi="Arial Narrow"/>
      <w:b/>
      <w:bCs/>
      <w:kern w:val="32"/>
      <w:szCs w:val="32"/>
      <w:lang w:val="de-AT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7EB"/>
    <w:rPr>
      <w:rFonts w:ascii="Arial Narrow" w:hAnsi="Arial Narrow"/>
      <w:b/>
      <w:bCs/>
      <w:iCs/>
      <w:szCs w:val="28"/>
      <w:lang w:val="de-AT" w:eastAsia="en-US" w:bidi="ar-SA"/>
    </w:rPr>
  </w:style>
  <w:style w:type="paragraph" w:customStyle="1" w:styleId="Formatvorlageberschrift1Links">
    <w:name w:val="Formatvorlage Überschrift 1 + Links"/>
    <w:basedOn w:val="berschrift1"/>
    <w:rsid w:val="009557EB"/>
    <w:pPr>
      <w:jc w:val="left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E78"/>
    <w:pPr>
      <w:spacing w:after="60"/>
      <w:jc w:val="both"/>
    </w:pPr>
    <w:rPr>
      <w:rFonts w:ascii="Arial Narrow" w:hAnsi="Arial Narrow"/>
      <w:sz w:val="18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49A"/>
    <w:pPr>
      <w:keepNext/>
      <w:spacing w:before="240" w:after="12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7EB"/>
    <w:pPr>
      <w:keepNext/>
      <w:spacing w:before="60"/>
      <w:outlineLvl w:val="1"/>
    </w:pPr>
    <w:rPr>
      <w:rFonts w:eastAsia="Times New Roman"/>
      <w:b/>
      <w:bCs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349A"/>
    <w:rPr>
      <w:rFonts w:ascii="Arial Narrow" w:hAnsi="Arial Narrow"/>
      <w:b/>
      <w:bCs/>
      <w:kern w:val="32"/>
      <w:szCs w:val="32"/>
      <w:lang w:val="de-AT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7EB"/>
    <w:rPr>
      <w:rFonts w:ascii="Arial Narrow" w:hAnsi="Arial Narrow"/>
      <w:b/>
      <w:bCs/>
      <w:iCs/>
      <w:szCs w:val="28"/>
      <w:lang w:val="de-AT" w:eastAsia="en-US" w:bidi="ar-SA"/>
    </w:rPr>
  </w:style>
  <w:style w:type="paragraph" w:customStyle="1" w:styleId="Formatvorlageberschrift1Links">
    <w:name w:val="Formatvorlage Überschrift 1 + Links"/>
    <w:basedOn w:val="berschrift1"/>
    <w:rsid w:val="009557EB"/>
    <w:pPr>
      <w:jc w:val="lef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A_PSK\DSM\MLetzl\Vorlagen\Gebrauchs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Gebrauchsinfo.dot</Template>
  <TotalTime>0</TotalTime>
  <Pages>2</Pages>
  <Words>2188</Words>
  <Characters>13790</Characters>
  <Application>Microsoft Office Word</Application>
  <DocSecurity>4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LETZL Marion</dc:creator>
  <cp:lastModifiedBy>UNTERBERGER Manuela</cp:lastModifiedBy>
  <cp:revision>2</cp:revision>
  <dcterms:created xsi:type="dcterms:W3CDTF">2016-09-22T07:24:00Z</dcterms:created>
  <dcterms:modified xsi:type="dcterms:W3CDTF">2016-09-22T07:24:00Z</dcterms:modified>
</cp:coreProperties>
</file>